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78E3" w14:textId="77777777" w:rsidR="00284412" w:rsidRPr="00284412" w:rsidRDefault="00412929" w:rsidP="00412929">
      <w:pPr>
        <w:jc w:val="center"/>
        <w:rPr>
          <w:rFonts w:ascii="Arial" w:hAnsi="Arial" w:cs="Arial"/>
          <w:b/>
          <w:bCs/>
          <w:lang w:val="es-CR"/>
        </w:rPr>
      </w:pPr>
      <w:r w:rsidRPr="00284412">
        <w:rPr>
          <w:rFonts w:ascii="Arial" w:hAnsi="Arial" w:cs="Arial"/>
          <w:b/>
          <w:bCs/>
          <w:lang w:val="es-CR"/>
        </w:rPr>
        <w:t>AVISO</w:t>
      </w:r>
      <w:r w:rsidR="00E23745" w:rsidRPr="00284412">
        <w:rPr>
          <w:rFonts w:ascii="Arial" w:hAnsi="Arial" w:cs="Arial"/>
          <w:b/>
          <w:bCs/>
          <w:lang w:val="es-CR"/>
        </w:rPr>
        <w:t xml:space="preserve"> </w:t>
      </w:r>
    </w:p>
    <w:p w14:paraId="217605AE" w14:textId="571492F7" w:rsidR="006836ED" w:rsidRPr="00284412" w:rsidRDefault="00E23745" w:rsidP="00284412">
      <w:pPr>
        <w:jc w:val="center"/>
        <w:rPr>
          <w:rFonts w:ascii="Arial" w:hAnsi="Arial" w:cs="Arial"/>
          <w:b/>
          <w:bCs/>
          <w:lang w:val="es-CR"/>
        </w:rPr>
      </w:pPr>
      <w:r w:rsidRPr="00284412">
        <w:rPr>
          <w:rFonts w:ascii="Arial" w:hAnsi="Arial" w:cs="Arial"/>
          <w:b/>
          <w:bCs/>
          <w:lang w:val="es-CR"/>
        </w:rPr>
        <w:t xml:space="preserve">LICITACIÓN MAYOR </w:t>
      </w:r>
      <w:r w:rsidR="00284412" w:rsidRPr="00284412">
        <w:rPr>
          <w:rFonts w:ascii="Arial" w:hAnsi="Arial" w:cs="Arial"/>
          <w:b/>
          <w:bCs/>
          <w:lang w:val="es-CR"/>
        </w:rPr>
        <w:t xml:space="preserve">- </w:t>
      </w:r>
      <w:r w:rsidRPr="00284412">
        <w:rPr>
          <w:rFonts w:ascii="Arial" w:hAnsi="Arial" w:cs="Arial"/>
          <w:b/>
          <w:bCs/>
          <w:lang w:val="es-CR"/>
        </w:rPr>
        <w:t>OBRA</w:t>
      </w:r>
    </w:p>
    <w:p w14:paraId="0805A0ED" w14:textId="77777777" w:rsidR="00D976CD" w:rsidRPr="00284412" w:rsidRDefault="00D976CD" w:rsidP="00412929">
      <w:pPr>
        <w:jc w:val="center"/>
        <w:rPr>
          <w:rFonts w:ascii="Arial" w:hAnsi="Arial" w:cs="Arial"/>
          <w:b/>
          <w:bCs/>
          <w:lang w:val="es-CR"/>
        </w:rPr>
      </w:pPr>
    </w:p>
    <w:p w14:paraId="0BA9C98D" w14:textId="478B2CFB" w:rsidR="00D976CD" w:rsidRPr="00BE4DB5" w:rsidRDefault="00E50726" w:rsidP="00EB1594">
      <w:pPr>
        <w:pStyle w:val="Textoindependiente"/>
        <w:spacing w:before="93"/>
        <w:jc w:val="both"/>
        <w:rPr>
          <w:rFonts w:ascii="Arial" w:eastAsiaTheme="minorHAnsi" w:hAnsi="Arial" w:cs="Arial"/>
          <w:lang w:val="es-CR"/>
        </w:rPr>
      </w:pPr>
      <w:r w:rsidRPr="00BE4DB5">
        <w:rPr>
          <w:rFonts w:ascii="Arial" w:eastAsiaTheme="minorHAnsi" w:hAnsi="Arial" w:cs="Arial"/>
          <w:lang w:val="es-CR"/>
        </w:rPr>
        <w:t xml:space="preserve">El Instituto Costarricense de Acueductos y Alcantarillados (AyA) en calidad de “Entidad Ejecutora” del Programa de Acueductos y Alcantarillado en Comunidades Costeras, está promoviendo la Licitación Mayor </w:t>
      </w:r>
      <w:r w:rsidRPr="00BE4DB5">
        <w:rPr>
          <w:rFonts w:ascii="Arial" w:eastAsiaTheme="minorHAnsi" w:hAnsi="Arial" w:cs="Arial"/>
          <w:b/>
          <w:bCs/>
          <w:lang w:val="es-CR"/>
        </w:rPr>
        <w:t xml:space="preserve">No. 2025LY-000020-0021400001, "Construcción del Mejoramiento y Ampliación del </w:t>
      </w:r>
      <w:r w:rsidR="00284412" w:rsidRPr="00BE4DB5">
        <w:rPr>
          <w:rFonts w:ascii="Arial" w:eastAsiaTheme="minorHAnsi" w:hAnsi="Arial" w:cs="Arial"/>
          <w:b/>
          <w:bCs/>
          <w:lang w:val="es-CR"/>
        </w:rPr>
        <w:t>S</w:t>
      </w:r>
      <w:r w:rsidRPr="00BE4DB5">
        <w:rPr>
          <w:rFonts w:ascii="Arial" w:eastAsiaTheme="minorHAnsi" w:hAnsi="Arial" w:cs="Arial"/>
          <w:b/>
          <w:bCs/>
          <w:lang w:val="es-CR"/>
        </w:rPr>
        <w:t xml:space="preserve">istema de </w:t>
      </w:r>
      <w:r w:rsidR="00284412" w:rsidRPr="00BE4DB5">
        <w:rPr>
          <w:rFonts w:ascii="Arial" w:eastAsiaTheme="minorHAnsi" w:hAnsi="Arial" w:cs="Arial"/>
          <w:b/>
          <w:bCs/>
          <w:lang w:val="es-CR"/>
        </w:rPr>
        <w:t>A</w:t>
      </w:r>
      <w:r w:rsidRPr="00BE4DB5">
        <w:rPr>
          <w:rFonts w:ascii="Arial" w:eastAsiaTheme="minorHAnsi" w:hAnsi="Arial" w:cs="Arial"/>
          <w:b/>
          <w:bCs/>
          <w:lang w:val="es-CR"/>
        </w:rPr>
        <w:t xml:space="preserve">gua </w:t>
      </w:r>
      <w:r w:rsidR="00284412" w:rsidRPr="00BE4DB5">
        <w:rPr>
          <w:rFonts w:ascii="Arial" w:eastAsiaTheme="minorHAnsi" w:hAnsi="Arial" w:cs="Arial"/>
          <w:b/>
          <w:bCs/>
          <w:lang w:val="es-CR"/>
        </w:rPr>
        <w:t>P</w:t>
      </w:r>
      <w:r w:rsidRPr="00BE4DB5">
        <w:rPr>
          <w:rFonts w:ascii="Arial" w:eastAsiaTheme="minorHAnsi" w:hAnsi="Arial" w:cs="Arial"/>
          <w:b/>
          <w:bCs/>
          <w:lang w:val="es-CR"/>
        </w:rPr>
        <w:t xml:space="preserve">otable para la </w:t>
      </w:r>
      <w:r w:rsidR="00284412" w:rsidRPr="00BE4DB5">
        <w:rPr>
          <w:rFonts w:ascii="Arial" w:eastAsiaTheme="minorHAnsi" w:hAnsi="Arial" w:cs="Arial"/>
          <w:b/>
          <w:bCs/>
          <w:lang w:val="es-CR"/>
        </w:rPr>
        <w:t>C</w:t>
      </w:r>
      <w:r w:rsidRPr="00BE4DB5">
        <w:rPr>
          <w:rFonts w:ascii="Arial" w:eastAsiaTheme="minorHAnsi" w:hAnsi="Arial" w:cs="Arial"/>
          <w:b/>
          <w:bCs/>
          <w:lang w:val="es-CR"/>
        </w:rPr>
        <w:t>iudad de Guácimo”.</w:t>
      </w:r>
    </w:p>
    <w:p w14:paraId="0E864841" w14:textId="77777777" w:rsidR="00E50726" w:rsidRPr="00BE4DB5" w:rsidRDefault="00E50726" w:rsidP="00EB1594">
      <w:pPr>
        <w:pStyle w:val="Textoindependiente"/>
        <w:spacing w:before="1"/>
        <w:ind w:right="248"/>
        <w:jc w:val="both"/>
        <w:rPr>
          <w:rFonts w:ascii="Arial" w:eastAsiaTheme="minorHAnsi" w:hAnsi="Arial" w:cs="Arial"/>
          <w:lang w:val="es-CR"/>
        </w:rPr>
      </w:pPr>
    </w:p>
    <w:p w14:paraId="0BA5D295" w14:textId="67412B85" w:rsidR="00D976CD" w:rsidRPr="00BE4DB5" w:rsidRDefault="00D976CD" w:rsidP="00EB1594">
      <w:pPr>
        <w:pStyle w:val="Textoindependiente"/>
        <w:spacing w:before="1"/>
        <w:ind w:right="248"/>
        <w:jc w:val="both"/>
        <w:rPr>
          <w:rFonts w:ascii="Arial" w:eastAsiaTheme="minorHAnsi" w:hAnsi="Arial" w:cs="Arial"/>
          <w:lang w:val="es-CR"/>
        </w:rPr>
      </w:pPr>
      <w:r w:rsidRPr="00BE4DB5">
        <w:rPr>
          <w:rFonts w:ascii="Arial" w:eastAsiaTheme="minorHAnsi" w:hAnsi="Arial" w:cs="Arial"/>
          <w:lang w:val="es-CR"/>
        </w:rPr>
        <w:t>Dicho proceso, forma parte integral del Financiamiento del Contrato de Préstamo 21</w:t>
      </w:r>
      <w:r w:rsidR="00E50726" w:rsidRPr="00BE4DB5">
        <w:rPr>
          <w:rFonts w:ascii="Arial" w:eastAsiaTheme="minorHAnsi" w:hAnsi="Arial" w:cs="Arial"/>
          <w:lang w:val="es-CR"/>
        </w:rPr>
        <w:t>88</w:t>
      </w:r>
      <w:r w:rsidRPr="00BE4DB5">
        <w:rPr>
          <w:rFonts w:ascii="Arial" w:eastAsiaTheme="minorHAnsi" w:hAnsi="Arial" w:cs="Arial"/>
          <w:lang w:val="es-CR"/>
        </w:rPr>
        <w:t xml:space="preserve"> firmado </w:t>
      </w:r>
      <w:r w:rsidR="00E50726" w:rsidRPr="00BE4DB5">
        <w:rPr>
          <w:rFonts w:ascii="Arial" w:eastAsiaTheme="minorHAnsi" w:hAnsi="Arial" w:cs="Arial"/>
          <w:lang w:val="es-CR"/>
        </w:rPr>
        <w:t>entre el AYA y el</w:t>
      </w:r>
      <w:r w:rsidRPr="00BE4DB5">
        <w:rPr>
          <w:rFonts w:ascii="Arial" w:eastAsiaTheme="minorHAnsi" w:hAnsi="Arial" w:cs="Arial"/>
          <w:lang w:val="es-CR"/>
        </w:rPr>
        <w:t xml:space="preserve"> BCIE</w:t>
      </w:r>
      <w:r w:rsidR="00E50726" w:rsidRPr="00BE4DB5">
        <w:rPr>
          <w:rFonts w:ascii="Arial" w:eastAsiaTheme="minorHAnsi" w:hAnsi="Arial" w:cs="Arial"/>
          <w:lang w:val="es-CR"/>
        </w:rPr>
        <w:t>.</w:t>
      </w:r>
    </w:p>
    <w:p w14:paraId="738C65FB" w14:textId="77777777" w:rsidR="00D976CD" w:rsidRPr="00BE4DB5" w:rsidRDefault="00D976CD" w:rsidP="00EB1594">
      <w:pPr>
        <w:spacing w:line="276" w:lineRule="auto"/>
        <w:jc w:val="both"/>
        <w:rPr>
          <w:rFonts w:ascii="Arial" w:eastAsiaTheme="minorHAnsi" w:hAnsi="Arial" w:cs="Arial"/>
          <w:sz w:val="22"/>
          <w:szCs w:val="22"/>
          <w:lang w:val="es-CR" w:eastAsia="en-US"/>
        </w:rPr>
      </w:pPr>
    </w:p>
    <w:p w14:paraId="3F87E299" w14:textId="3B01C2ED" w:rsidR="00D976CD" w:rsidRPr="00BE4DB5" w:rsidRDefault="00D976CD" w:rsidP="00EB1594">
      <w:pPr>
        <w:jc w:val="both"/>
        <w:rPr>
          <w:rFonts w:ascii="Arial" w:hAnsi="Arial" w:cs="Arial"/>
          <w:sz w:val="22"/>
          <w:szCs w:val="22"/>
          <w:lang w:val="es-CR"/>
        </w:rPr>
      </w:pPr>
      <w:r w:rsidRPr="00BE4DB5">
        <w:rPr>
          <w:rFonts w:ascii="Arial" w:hAnsi="Arial" w:cs="Arial"/>
          <w:sz w:val="22"/>
          <w:szCs w:val="22"/>
          <w:lang w:val="es-CR"/>
        </w:rPr>
        <w:t xml:space="preserve">Los detalles del concurso podrán ser consultados mediante el Sistema de Compras Públicas (SICOP) </w:t>
      </w:r>
      <w:hyperlink r:id="rId9" w:tgtFrame="_blank" w:tooltip="https://www.sicop.go.cr/index.jsp" w:history="1">
        <w:r w:rsidRPr="00BE4DB5">
          <w:rPr>
            <w:rStyle w:val="Hipervnculo"/>
            <w:rFonts w:ascii="Arial" w:hAnsi="Arial" w:cs="Arial"/>
            <w:sz w:val="22"/>
            <w:szCs w:val="22"/>
            <w:lang w:val="es-CR" w:eastAsia="es-CR"/>
          </w:rPr>
          <w:t>https://www.sicop.go.cr/index.jsp</w:t>
        </w:r>
      </w:hyperlink>
      <w:r w:rsidRPr="00BE4DB5">
        <w:rPr>
          <w:rFonts w:ascii="Arial" w:hAnsi="Arial" w:cs="Arial"/>
          <w:sz w:val="22"/>
          <w:szCs w:val="22"/>
          <w:lang w:val="es-CR"/>
        </w:rPr>
        <w:t xml:space="preserve"> En caso de requerir asistencia adicional para su registro en el Sistema Integrado de Compras Públicas, pueden escribir al correo </w:t>
      </w:r>
      <w:hyperlink r:id="rId10" w:history="1">
        <w:r w:rsidRPr="00BE4DB5">
          <w:rPr>
            <w:rStyle w:val="Hipervnculo"/>
            <w:rFonts w:ascii="Arial" w:eastAsia="StarSymbol" w:hAnsi="Arial" w:cs="Arial"/>
            <w:sz w:val="22"/>
            <w:szCs w:val="22"/>
            <w:lang w:val="es-CR"/>
          </w:rPr>
          <w:t>call-center@sicop.go.cr</w:t>
        </w:r>
      </w:hyperlink>
      <w:r w:rsidR="00284412" w:rsidRPr="00BE4DB5">
        <w:rPr>
          <w:rFonts w:ascii="Arial" w:hAnsi="Arial" w:cs="Arial"/>
          <w:sz w:val="22"/>
          <w:szCs w:val="22"/>
          <w:lang w:val="es-CR"/>
        </w:rPr>
        <w:t xml:space="preserve"> o por </w:t>
      </w:r>
      <w:r w:rsidR="00E33E45">
        <w:rPr>
          <w:rFonts w:ascii="Arial" w:hAnsi="Arial" w:cs="Arial"/>
          <w:sz w:val="22"/>
          <w:szCs w:val="22"/>
          <w:lang w:val="es-CR"/>
        </w:rPr>
        <w:t>teléfono</w:t>
      </w:r>
      <w:r w:rsidR="00284412" w:rsidRPr="00BE4DB5">
        <w:rPr>
          <w:rFonts w:ascii="Arial" w:hAnsi="Arial" w:cs="Arial"/>
          <w:sz w:val="22"/>
          <w:szCs w:val="22"/>
          <w:lang w:val="es-CR"/>
        </w:rPr>
        <w:t xml:space="preserve"> al </w:t>
      </w:r>
      <w:r w:rsidR="00284412" w:rsidRPr="00BE4DB5">
        <w:rPr>
          <w:rFonts w:ascii="Arial" w:hAnsi="Arial" w:cs="Arial"/>
          <w:sz w:val="22"/>
          <w:szCs w:val="22"/>
          <w:lang w:val="es-CR"/>
        </w:rPr>
        <w:t> 1311 opción 3</w:t>
      </w:r>
      <w:r w:rsidR="00E50726" w:rsidRPr="00BE4DB5">
        <w:rPr>
          <w:rFonts w:ascii="Arial" w:hAnsi="Arial" w:cs="Arial"/>
          <w:sz w:val="22"/>
          <w:szCs w:val="22"/>
          <w:lang w:val="es-CR"/>
        </w:rPr>
        <w:t xml:space="preserve"> .</w:t>
      </w:r>
    </w:p>
    <w:p w14:paraId="47C4AFAA" w14:textId="77777777" w:rsidR="00024443" w:rsidRPr="00284412" w:rsidRDefault="00024443" w:rsidP="00EB1594">
      <w:pPr>
        <w:jc w:val="both"/>
        <w:rPr>
          <w:rFonts w:ascii="Arial" w:hAnsi="Arial" w:cs="Arial"/>
          <w:sz w:val="22"/>
          <w:szCs w:val="22"/>
          <w:lang w:val="es-CR"/>
        </w:rPr>
      </w:pPr>
    </w:p>
    <w:tbl>
      <w:tblPr>
        <w:tblStyle w:val="Tablaconcuadrcula"/>
        <w:tblW w:w="9380" w:type="dxa"/>
        <w:tblLook w:val="04A0" w:firstRow="1" w:lastRow="0" w:firstColumn="1" w:lastColumn="0" w:noHBand="0" w:noVBand="1"/>
      </w:tblPr>
      <w:tblGrid>
        <w:gridCol w:w="2884"/>
        <w:gridCol w:w="6496"/>
      </w:tblGrid>
      <w:tr w:rsidR="00236DC7" w:rsidRPr="00BE4DB5" w14:paraId="2CC2E7A3" w14:textId="77777777" w:rsidTr="001C68EB">
        <w:trPr>
          <w:trHeight w:val="283"/>
        </w:trPr>
        <w:tc>
          <w:tcPr>
            <w:tcW w:w="2884" w:type="dxa"/>
          </w:tcPr>
          <w:p w14:paraId="43781650" w14:textId="3896C5F5" w:rsidR="00445414" w:rsidRPr="00BE4DB5" w:rsidRDefault="00445414" w:rsidP="00445414">
            <w:pPr>
              <w:spacing w:line="276" w:lineRule="auto"/>
              <w:rPr>
                <w:rFonts w:ascii="Arial" w:hAnsi="Arial" w:cs="Arial"/>
                <w:sz w:val="18"/>
                <w:szCs w:val="18"/>
                <w:lang w:val="es-CR"/>
              </w:rPr>
            </w:pPr>
            <w:r w:rsidRPr="00BE4DB5">
              <w:rPr>
                <w:rFonts w:ascii="Arial" w:hAnsi="Arial" w:cs="Arial"/>
                <w:sz w:val="18"/>
                <w:szCs w:val="18"/>
                <w:lang w:val="es-CR"/>
              </w:rPr>
              <w:t>Sector:</w:t>
            </w:r>
          </w:p>
        </w:tc>
        <w:tc>
          <w:tcPr>
            <w:tcW w:w="6496" w:type="dxa"/>
          </w:tcPr>
          <w:p w14:paraId="70FCC949" w14:textId="39FA3976" w:rsidR="00445414" w:rsidRPr="00BE4DB5" w:rsidRDefault="0017504E" w:rsidP="002369E1">
            <w:pPr>
              <w:spacing w:line="276" w:lineRule="auto"/>
              <w:rPr>
                <w:rFonts w:ascii="Arial" w:hAnsi="Arial" w:cs="Arial"/>
                <w:sz w:val="18"/>
                <w:szCs w:val="18"/>
                <w:lang w:val="es-CR"/>
              </w:rPr>
            </w:pPr>
            <w:r w:rsidRPr="00BE4DB5">
              <w:rPr>
                <w:rFonts w:ascii="Arial" w:hAnsi="Arial" w:cs="Arial"/>
                <w:sz w:val="18"/>
                <w:szCs w:val="18"/>
                <w:lang w:val="es-CR"/>
              </w:rPr>
              <w:t>Agua Potable y San</w:t>
            </w:r>
            <w:r w:rsidR="005C4C0F" w:rsidRPr="00BE4DB5">
              <w:rPr>
                <w:rFonts w:ascii="Arial" w:hAnsi="Arial" w:cs="Arial"/>
                <w:sz w:val="18"/>
                <w:szCs w:val="18"/>
                <w:lang w:val="es-CR"/>
              </w:rPr>
              <w:t>eamiento</w:t>
            </w:r>
          </w:p>
        </w:tc>
      </w:tr>
      <w:tr w:rsidR="00236DC7" w:rsidRPr="00BE4DB5" w14:paraId="3BAB13FC" w14:textId="77777777" w:rsidTr="001C68EB">
        <w:trPr>
          <w:trHeight w:val="567"/>
        </w:trPr>
        <w:tc>
          <w:tcPr>
            <w:tcW w:w="2884" w:type="dxa"/>
          </w:tcPr>
          <w:p w14:paraId="4C3D2444" w14:textId="37048D9F" w:rsidR="00D51C1F" w:rsidRPr="00BE4DB5" w:rsidRDefault="00EA55DC" w:rsidP="00D51C1F">
            <w:pPr>
              <w:spacing w:line="276" w:lineRule="auto"/>
              <w:rPr>
                <w:rFonts w:ascii="Arial" w:hAnsi="Arial" w:cs="Arial"/>
                <w:sz w:val="18"/>
                <w:szCs w:val="18"/>
                <w:lang w:val="es-CR"/>
              </w:rPr>
            </w:pPr>
            <w:r w:rsidRPr="00BE4DB5">
              <w:rPr>
                <w:rFonts w:ascii="Arial" w:hAnsi="Arial" w:cs="Arial"/>
                <w:sz w:val="18"/>
                <w:szCs w:val="18"/>
                <w:lang w:val="es-CR"/>
              </w:rPr>
              <w:t>Nombre del proyecto:</w:t>
            </w:r>
          </w:p>
        </w:tc>
        <w:tc>
          <w:tcPr>
            <w:tcW w:w="6496" w:type="dxa"/>
          </w:tcPr>
          <w:p w14:paraId="60A52C8D" w14:textId="4D9FBF23" w:rsidR="00D51C1F" w:rsidRPr="00BE4DB5" w:rsidRDefault="00BE4DB5" w:rsidP="00345F56">
            <w:pPr>
              <w:spacing w:line="276" w:lineRule="auto"/>
              <w:rPr>
                <w:rFonts w:ascii="Arial" w:hAnsi="Arial" w:cs="Arial"/>
                <w:sz w:val="18"/>
                <w:szCs w:val="18"/>
                <w:lang w:val="es-CR"/>
              </w:rPr>
            </w:pPr>
            <w:r w:rsidRPr="00BE4DB5">
              <w:rPr>
                <w:rFonts w:ascii="Arial" w:hAnsi="Arial" w:cs="Arial"/>
                <w:sz w:val="18"/>
                <w:szCs w:val="18"/>
                <w:lang w:val="es-CR"/>
              </w:rPr>
              <w:t>“</w:t>
            </w:r>
            <w:r w:rsidR="00284412" w:rsidRPr="00BE4DB5">
              <w:rPr>
                <w:rFonts w:ascii="Arial" w:hAnsi="Arial" w:cs="Arial"/>
                <w:sz w:val="18"/>
                <w:szCs w:val="18"/>
                <w:lang w:val="es-CR"/>
              </w:rPr>
              <w:t xml:space="preserve">Construcción del Mejoramiento y Ampliación del </w:t>
            </w:r>
            <w:r w:rsidRPr="00BE4DB5">
              <w:rPr>
                <w:rFonts w:ascii="Arial" w:hAnsi="Arial" w:cs="Arial"/>
                <w:sz w:val="18"/>
                <w:szCs w:val="18"/>
                <w:lang w:val="es-CR"/>
              </w:rPr>
              <w:t>S</w:t>
            </w:r>
            <w:r w:rsidR="00284412" w:rsidRPr="00BE4DB5">
              <w:rPr>
                <w:rFonts w:ascii="Arial" w:hAnsi="Arial" w:cs="Arial"/>
                <w:sz w:val="18"/>
                <w:szCs w:val="18"/>
                <w:lang w:val="es-CR"/>
              </w:rPr>
              <w:t xml:space="preserve">istema de </w:t>
            </w:r>
            <w:r w:rsidRPr="00BE4DB5">
              <w:rPr>
                <w:rFonts w:ascii="Arial" w:hAnsi="Arial" w:cs="Arial"/>
                <w:sz w:val="18"/>
                <w:szCs w:val="18"/>
                <w:lang w:val="es-CR"/>
              </w:rPr>
              <w:t>A</w:t>
            </w:r>
            <w:r w:rsidR="00284412" w:rsidRPr="00BE4DB5">
              <w:rPr>
                <w:rFonts w:ascii="Arial" w:hAnsi="Arial" w:cs="Arial"/>
                <w:sz w:val="18"/>
                <w:szCs w:val="18"/>
                <w:lang w:val="es-CR"/>
              </w:rPr>
              <w:t xml:space="preserve">gua </w:t>
            </w:r>
            <w:r w:rsidRPr="00BE4DB5">
              <w:rPr>
                <w:rFonts w:ascii="Arial" w:hAnsi="Arial" w:cs="Arial"/>
                <w:sz w:val="18"/>
                <w:szCs w:val="18"/>
                <w:lang w:val="es-CR"/>
              </w:rPr>
              <w:t>P</w:t>
            </w:r>
            <w:r w:rsidR="00284412" w:rsidRPr="00BE4DB5">
              <w:rPr>
                <w:rFonts w:ascii="Arial" w:hAnsi="Arial" w:cs="Arial"/>
                <w:sz w:val="18"/>
                <w:szCs w:val="18"/>
                <w:lang w:val="es-CR"/>
              </w:rPr>
              <w:t xml:space="preserve">otable para la </w:t>
            </w:r>
            <w:r w:rsidRPr="00BE4DB5">
              <w:rPr>
                <w:rFonts w:ascii="Arial" w:hAnsi="Arial" w:cs="Arial"/>
                <w:sz w:val="18"/>
                <w:szCs w:val="18"/>
                <w:lang w:val="es-CR"/>
              </w:rPr>
              <w:t>C</w:t>
            </w:r>
            <w:r w:rsidR="00284412" w:rsidRPr="00BE4DB5">
              <w:rPr>
                <w:rFonts w:ascii="Arial" w:hAnsi="Arial" w:cs="Arial"/>
                <w:sz w:val="18"/>
                <w:szCs w:val="18"/>
                <w:lang w:val="es-CR"/>
              </w:rPr>
              <w:t>iudad de Guácimo”</w:t>
            </w:r>
            <w:r w:rsidR="00E33E45">
              <w:rPr>
                <w:rFonts w:ascii="Arial" w:hAnsi="Arial" w:cs="Arial"/>
                <w:sz w:val="18"/>
                <w:szCs w:val="18"/>
                <w:lang w:val="es-CR"/>
              </w:rPr>
              <w:t>.</w:t>
            </w:r>
          </w:p>
        </w:tc>
      </w:tr>
      <w:tr w:rsidR="00EE007C" w:rsidRPr="00BE4DB5" w14:paraId="351D87EE" w14:textId="77777777" w:rsidTr="001C68EB">
        <w:trPr>
          <w:trHeight w:val="371"/>
        </w:trPr>
        <w:tc>
          <w:tcPr>
            <w:tcW w:w="2884" w:type="dxa"/>
          </w:tcPr>
          <w:p w14:paraId="2D2A8091" w14:textId="44B9E999" w:rsidR="00EE007C" w:rsidRPr="00BE4DB5" w:rsidRDefault="00EE007C" w:rsidP="00EE007C">
            <w:pPr>
              <w:autoSpaceDE w:val="0"/>
              <w:autoSpaceDN w:val="0"/>
              <w:adjustRightInd w:val="0"/>
              <w:spacing w:after="120"/>
              <w:rPr>
                <w:rFonts w:ascii="Arial" w:hAnsi="Arial" w:cs="Arial"/>
                <w:sz w:val="18"/>
                <w:szCs w:val="18"/>
                <w:lang w:val="es-CR"/>
              </w:rPr>
            </w:pPr>
            <w:r w:rsidRPr="00BE4DB5">
              <w:rPr>
                <w:rFonts w:ascii="Arial" w:hAnsi="Arial" w:cs="Arial"/>
                <w:sz w:val="18"/>
                <w:szCs w:val="18"/>
                <w:lang w:val="es-CR"/>
              </w:rPr>
              <w:t>Tipo de adquisiciones</w:t>
            </w:r>
            <w:r w:rsidR="007F78D1" w:rsidRPr="00BE4DB5">
              <w:rPr>
                <w:rFonts w:ascii="Arial" w:hAnsi="Arial" w:cs="Arial"/>
                <w:sz w:val="18"/>
                <w:szCs w:val="18"/>
                <w:lang w:val="es-CR"/>
              </w:rPr>
              <w:t>:</w:t>
            </w:r>
          </w:p>
        </w:tc>
        <w:tc>
          <w:tcPr>
            <w:tcW w:w="6496" w:type="dxa"/>
          </w:tcPr>
          <w:p w14:paraId="18DEC44D" w14:textId="424BCCA0" w:rsidR="00EE007C" w:rsidRPr="00BE4DB5" w:rsidRDefault="00D546B2" w:rsidP="00EE007C">
            <w:pPr>
              <w:spacing w:line="276" w:lineRule="auto"/>
              <w:rPr>
                <w:rFonts w:ascii="Arial" w:hAnsi="Arial" w:cs="Arial"/>
                <w:sz w:val="18"/>
                <w:szCs w:val="18"/>
                <w:lang w:val="es-CR"/>
              </w:rPr>
            </w:pPr>
            <w:r w:rsidRPr="00BE4DB5">
              <w:rPr>
                <w:rFonts w:ascii="Arial" w:hAnsi="Arial" w:cs="Arial"/>
                <w:sz w:val="18"/>
                <w:szCs w:val="18"/>
                <w:lang w:val="es-CR"/>
              </w:rPr>
              <w:t>Obra</w:t>
            </w:r>
            <w:r w:rsidR="00284412" w:rsidRPr="00BE4DB5">
              <w:rPr>
                <w:rFonts w:ascii="Arial" w:hAnsi="Arial" w:cs="Arial"/>
                <w:sz w:val="18"/>
                <w:szCs w:val="18"/>
                <w:lang w:val="es-CR"/>
              </w:rPr>
              <w:t xml:space="preserve"> Pública </w:t>
            </w:r>
          </w:p>
        </w:tc>
      </w:tr>
      <w:tr w:rsidR="00127148" w:rsidRPr="00BE4DB5" w14:paraId="239947AE" w14:textId="77777777" w:rsidTr="001C68EB">
        <w:trPr>
          <w:trHeight w:val="6376"/>
        </w:trPr>
        <w:tc>
          <w:tcPr>
            <w:tcW w:w="2884" w:type="dxa"/>
          </w:tcPr>
          <w:p w14:paraId="48F473A7" w14:textId="14BD6F08" w:rsidR="00127148" w:rsidRPr="00BE4DB5" w:rsidRDefault="00127148" w:rsidP="00127148">
            <w:pPr>
              <w:autoSpaceDE w:val="0"/>
              <w:autoSpaceDN w:val="0"/>
              <w:adjustRightInd w:val="0"/>
              <w:spacing w:after="120"/>
              <w:rPr>
                <w:rFonts w:ascii="Arial" w:hAnsi="Arial" w:cs="Arial"/>
                <w:sz w:val="18"/>
                <w:szCs w:val="18"/>
                <w:lang w:val="es-CR"/>
              </w:rPr>
            </w:pPr>
            <w:r w:rsidRPr="00BE4DB5">
              <w:rPr>
                <w:rFonts w:ascii="Arial" w:hAnsi="Arial" w:cs="Arial"/>
                <w:sz w:val="18"/>
                <w:szCs w:val="18"/>
                <w:lang w:val="es-CR"/>
              </w:rPr>
              <w:t>Descripción del proyecto:</w:t>
            </w:r>
          </w:p>
        </w:tc>
        <w:tc>
          <w:tcPr>
            <w:tcW w:w="6496" w:type="dxa"/>
          </w:tcPr>
          <w:p w14:paraId="1A28BBFA" w14:textId="77777777" w:rsidR="00BE4DB5" w:rsidRPr="00BE4DB5" w:rsidRDefault="00BE4DB5" w:rsidP="00BE4DB5">
            <w:pPr>
              <w:numPr>
                <w:ilvl w:val="0"/>
                <w:numId w:val="4"/>
              </w:numPr>
              <w:contextualSpacing/>
              <w:jc w:val="both"/>
              <w:rPr>
                <w:rFonts w:ascii="Arial" w:hAnsi="Arial" w:cs="Arial"/>
                <w:sz w:val="18"/>
                <w:szCs w:val="18"/>
                <w:lang w:val="es-CR"/>
              </w:rPr>
            </w:pPr>
            <w:r w:rsidRPr="00BE4DB5">
              <w:rPr>
                <w:rFonts w:ascii="Arial" w:hAnsi="Arial" w:cs="Arial"/>
                <w:sz w:val="18"/>
                <w:szCs w:val="18"/>
                <w:lang w:val="es-CR"/>
              </w:rPr>
              <w:t>Implementación en la naciente de La Angelina de tres tuberías de salida cada una de DN300 con su respectiva válvula de cierre del mismo diámetro, la distribución de dichas tuberías es la siguiente: tubería existente de DN300 HF hacia el tanque La Angelina, tubería existente de DN300 PVC hasta tanques Selva y La Cabaña (1) y (3), así como una tubería nueva a colocar de DN300 HD propuesta en camino directo hasta el nuevo Tanque Calle Bosque y TQG.</w:t>
            </w:r>
          </w:p>
          <w:p w14:paraId="27C01481" w14:textId="77777777" w:rsidR="00BE4DB5" w:rsidRPr="00BE4DB5" w:rsidRDefault="00BE4DB5" w:rsidP="00BE4DB5">
            <w:pPr>
              <w:contextualSpacing/>
              <w:jc w:val="both"/>
              <w:rPr>
                <w:rFonts w:ascii="Arial" w:hAnsi="Arial" w:cs="Arial"/>
                <w:sz w:val="18"/>
                <w:szCs w:val="18"/>
                <w:lang w:val="es-ES"/>
              </w:rPr>
            </w:pPr>
          </w:p>
          <w:p w14:paraId="0EDF5290"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CR"/>
              </w:rPr>
              <w:t>Reemplazar las tuberías y válvulas existentes debido al desgaste por corrosión, conectándolas a un nuevo tanque de reunión. Con el fin de aprovechar el excedente de agua de la captación La Roca 7B, se llevará a cabo la reunión de las aguas de ambas nacientes (7A y 7B) en un tanque de reunión que se conectará a la tubería existente de DN 300 PVC hacia el Tanque La Roca.</w:t>
            </w:r>
          </w:p>
          <w:p w14:paraId="286F0C8C"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Construcción de línea de aducción de la naciente La Angelina al tanque Calle Bosque y tanque quiebra gradiente, con una longitud de 7.78 km.</w:t>
            </w:r>
          </w:p>
          <w:p w14:paraId="47410D1B"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Construcción de la línea de aducción de tanque quiebra gradiente al tanque Guaira, con una longitud de 3.13 km.</w:t>
            </w:r>
          </w:p>
          <w:p w14:paraId="25A0B222"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 xml:space="preserve">Construcción de la línea de aducción de la naciente La Roca pasando por el tanque La Angelina hasta el tanque La Roca, con una longitud total de 540 m de los cuales </w:t>
            </w:r>
            <w:r w:rsidRPr="00BE4DB5">
              <w:rPr>
                <w:rFonts w:ascii="Arial" w:hAnsi="Arial" w:cs="Arial"/>
                <w:sz w:val="18"/>
                <w:szCs w:val="18"/>
                <w:lang w:val="es-CR"/>
              </w:rPr>
              <w:t xml:space="preserve">166.5 m se colocará en tubería nueva de PEAD DN 250 </w:t>
            </w:r>
            <w:proofErr w:type="spellStart"/>
            <w:r w:rsidRPr="00BE4DB5">
              <w:rPr>
                <w:rFonts w:ascii="Arial" w:hAnsi="Arial" w:cs="Arial"/>
                <w:sz w:val="18"/>
                <w:szCs w:val="18"/>
                <w:lang w:val="es-CR"/>
              </w:rPr>
              <w:t>mm.</w:t>
            </w:r>
            <w:proofErr w:type="spellEnd"/>
          </w:p>
          <w:p w14:paraId="20DE765B"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Construcción de tanque de almacenamiento La Roca con una capacidad de 750 m</w:t>
            </w:r>
            <w:r w:rsidRPr="00BE4DB5">
              <w:rPr>
                <w:rFonts w:ascii="Arial" w:hAnsi="Arial" w:cs="Arial"/>
                <w:sz w:val="18"/>
                <w:szCs w:val="18"/>
                <w:vertAlign w:val="superscript"/>
                <w:lang w:val="es-ES"/>
              </w:rPr>
              <w:t>3</w:t>
            </w:r>
            <w:r w:rsidRPr="00BE4DB5">
              <w:rPr>
                <w:rFonts w:ascii="Arial" w:hAnsi="Arial" w:cs="Arial"/>
                <w:sz w:val="18"/>
                <w:szCs w:val="18"/>
                <w:lang w:val="es-ES"/>
              </w:rPr>
              <w:t>.</w:t>
            </w:r>
          </w:p>
          <w:p w14:paraId="116F36C9"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Construcción de tanque de almacenamiento La Selva con una capacidad de 700 m</w:t>
            </w:r>
            <w:r w:rsidRPr="00BE4DB5">
              <w:rPr>
                <w:rFonts w:ascii="Arial" w:hAnsi="Arial" w:cs="Arial"/>
                <w:sz w:val="18"/>
                <w:szCs w:val="18"/>
                <w:vertAlign w:val="superscript"/>
                <w:lang w:val="es-ES"/>
              </w:rPr>
              <w:t>3</w:t>
            </w:r>
            <w:r w:rsidRPr="00BE4DB5">
              <w:rPr>
                <w:rFonts w:ascii="Arial" w:hAnsi="Arial" w:cs="Arial"/>
                <w:sz w:val="18"/>
                <w:szCs w:val="18"/>
                <w:lang w:val="es-ES"/>
              </w:rPr>
              <w:t>.</w:t>
            </w:r>
          </w:p>
          <w:p w14:paraId="7295798F"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Demolición de tanque de almacenamiento La Cabaña 2, y construcción de nuevo tanque de almacenamiento La Cabaña 3 con una capacidad de 356 m</w:t>
            </w:r>
            <w:r w:rsidRPr="00BE4DB5">
              <w:rPr>
                <w:rFonts w:ascii="Arial" w:hAnsi="Arial" w:cs="Arial"/>
                <w:sz w:val="18"/>
                <w:szCs w:val="18"/>
                <w:vertAlign w:val="superscript"/>
                <w:lang w:val="es-ES"/>
              </w:rPr>
              <w:t>3</w:t>
            </w:r>
            <w:r w:rsidRPr="00BE4DB5">
              <w:rPr>
                <w:rFonts w:ascii="Arial" w:hAnsi="Arial" w:cs="Arial"/>
                <w:sz w:val="18"/>
                <w:szCs w:val="18"/>
                <w:lang w:val="es-ES"/>
              </w:rPr>
              <w:t>.</w:t>
            </w:r>
          </w:p>
          <w:p w14:paraId="6B655A28"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Construcción de tanque de almacenamiento Calle Bosque con una capacidad de 900 m</w:t>
            </w:r>
            <w:r w:rsidRPr="00BE4DB5">
              <w:rPr>
                <w:rFonts w:ascii="Arial" w:hAnsi="Arial" w:cs="Arial"/>
                <w:sz w:val="18"/>
                <w:szCs w:val="18"/>
                <w:vertAlign w:val="superscript"/>
                <w:lang w:val="es-ES"/>
              </w:rPr>
              <w:t xml:space="preserve">3 </w:t>
            </w:r>
            <w:r w:rsidRPr="00BE4DB5">
              <w:rPr>
                <w:rFonts w:ascii="Arial" w:hAnsi="Arial" w:cs="Arial"/>
                <w:sz w:val="18"/>
                <w:szCs w:val="18"/>
                <w:lang w:val="es-ES"/>
              </w:rPr>
              <w:t xml:space="preserve">y tanque </w:t>
            </w:r>
            <w:proofErr w:type="spellStart"/>
            <w:r w:rsidRPr="00BE4DB5">
              <w:rPr>
                <w:rFonts w:ascii="Arial" w:hAnsi="Arial" w:cs="Arial"/>
                <w:sz w:val="18"/>
                <w:szCs w:val="18"/>
                <w:lang w:val="es-ES"/>
              </w:rPr>
              <w:t>quiebragradiente</w:t>
            </w:r>
            <w:proofErr w:type="spellEnd"/>
            <w:r w:rsidRPr="00BE4DB5">
              <w:rPr>
                <w:rFonts w:ascii="Arial" w:hAnsi="Arial" w:cs="Arial"/>
                <w:sz w:val="18"/>
                <w:szCs w:val="18"/>
                <w:lang w:val="es-ES"/>
              </w:rPr>
              <w:t xml:space="preserve"> de 11.2 m</w:t>
            </w:r>
            <w:r w:rsidRPr="00BE4DB5">
              <w:rPr>
                <w:rFonts w:ascii="Arial" w:hAnsi="Arial" w:cs="Arial"/>
                <w:sz w:val="18"/>
                <w:szCs w:val="18"/>
                <w:vertAlign w:val="superscript"/>
                <w:lang w:val="es-ES"/>
              </w:rPr>
              <w:t>3</w:t>
            </w:r>
            <w:r w:rsidRPr="00BE4DB5">
              <w:rPr>
                <w:rFonts w:ascii="Arial" w:hAnsi="Arial" w:cs="Arial"/>
                <w:sz w:val="18"/>
                <w:szCs w:val="18"/>
                <w:lang w:val="es-ES"/>
              </w:rPr>
              <w:t>.</w:t>
            </w:r>
          </w:p>
          <w:p w14:paraId="2A40B06F" w14:textId="77777777" w:rsidR="00BE4DB5" w:rsidRPr="00BE4DB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Suministro e Instalación de tanque de acero vitrificado Guaira con una capacidad de almacenamiento de 2300 m</w:t>
            </w:r>
            <w:r w:rsidRPr="00BE4DB5">
              <w:rPr>
                <w:rFonts w:ascii="Arial" w:hAnsi="Arial" w:cs="Arial"/>
                <w:sz w:val="18"/>
                <w:szCs w:val="18"/>
                <w:vertAlign w:val="superscript"/>
                <w:lang w:val="es-ES"/>
              </w:rPr>
              <w:t>3</w:t>
            </w:r>
            <w:r w:rsidRPr="00BE4DB5">
              <w:rPr>
                <w:rFonts w:ascii="Arial" w:hAnsi="Arial" w:cs="Arial"/>
                <w:sz w:val="18"/>
                <w:szCs w:val="18"/>
                <w:lang w:val="es-ES"/>
              </w:rPr>
              <w:t>, el cual contará con los accesorios y conexiones necesarias para su adecuada operación y funcionamiento.</w:t>
            </w:r>
          </w:p>
          <w:p w14:paraId="4266A7A1" w14:textId="77777777" w:rsidR="00E33E45" w:rsidRDefault="00BE4DB5" w:rsidP="00BE4DB5">
            <w:pPr>
              <w:numPr>
                <w:ilvl w:val="0"/>
                <w:numId w:val="4"/>
              </w:numPr>
              <w:contextualSpacing/>
              <w:jc w:val="both"/>
              <w:rPr>
                <w:rFonts w:ascii="Arial" w:hAnsi="Arial" w:cs="Arial"/>
                <w:sz w:val="18"/>
                <w:szCs w:val="18"/>
                <w:lang w:val="es-ES"/>
              </w:rPr>
            </w:pPr>
            <w:r w:rsidRPr="00BE4DB5">
              <w:rPr>
                <w:rFonts w:ascii="Arial" w:hAnsi="Arial" w:cs="Arial"/>
                <w:sz w:val="18"/>
                <w:szCs w:val="18"/>
                <w:lang w:val="es-ES"/>
              </w:rPr>
              <w:t xml:space="preserve">Se requieren las mejoras al equipo del Tanque Angelina donde se incluye el ajuste de accesorios, incorporación de equipo de </w:t>
            </w:r>
            <w:proofErr w:type="spellStart"/>
            <w:r w:rsidRPr="00BE4DB5">
              <w:rPr>
                <w:rFonts w:ascii="Arial" w:hAnsi="Arial" w:cs="Arial"/>
                <w:sz w:val="18"/>
                <w:szCs w:val="18"/>
                <w:lang w:val="es-ES"/>
              </w:rPr>
              <w:t>macromedición</w:t>
            </w:r>
            <w:proofErr w:type="spellEnd"/>
            <w:r w:rsidRPr="00BE4DB5">
              <w:rPr>
                <w:rFonts w:ascii="Arial" w:hAnsi="Arial" w:cs="Arial"/>
                <w:sz w:val="18"/>
                <w:szCs w:val="18"/>
                <w:lang w:val="es-ES"/>
              </w:rPr>
              <w:t>, automatización y telemetría.</w:t>
            </w:r>
          </w:p>
          <w:p w14:paraId="65059E5D" w14:textId="472A7210" w:rsidR="000564BC" w:rsidRPr="00E33E45" w:rsidRDefault="00BE4DB5" w:rsidP="00BE4DB5">
            <w:pPr>
              <w:numPr>
                <w:ilvl w:val="0"/>
                <w:numId w:val="4"/>
              </w:numPr>
              <w:contextualSpacing/>
              <w:jc w:val="both"/>
              <w:rPr>
                <w:rFonts w:ascii="Arial" w:hAnsi="Arial" w:cs="Arial"/>
                <w:sz w:val="18"/>
                <w:szCs w:val="18"/>
                <w:lang w:val="es-ES"/>
              </w:rPr>
            </w:pPr>
            <w:r w:rsidRPr="00E33E45">
              <w:rPr>
                <w:rFonts w:ascii="Arial" w:hAnsi="Arial" w:cs="Arial"/>
                <w:sz w:val="18"/>
                <w:szCs w:val="18"/>
                <w:lang w:val="es-CR"/>
              </w:rPr>
              <w:t>Mejoras en las redes de distribución de las zonas abastecidas de los siguientes tanques: tanque La Roca; tanque La Selva; tanque Cabaña 1 y 3; tanque Calle Bosque; tanque Guaira y La Angelina.</w:t>
            </w:r>
          </w:p>
        </w:tc>
      </w:tr>
      <w:tr w:rsidR="00127148" w:rsidRPr="00BE4DB5" w14:paraId="2F9FA074" w14:textId="77777777" w:rsidTr="001C68EB">
        <w:trPr>
          <w:trHeight w:val="567"/>
        </w:trPr>
        <w:tc>
          <w:tcPr>
            <w:tcW w:w="2884" w:type="dxa"/>
          </w:tcPr>
          <w:p w14:paraId="663B9DC5" w14:textId="61060188"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 xml:space="preserve">No. </w:t>
            </w:r>
            <w:r w:rsidR="00284412" w:rsidRPr="00BE4DB5">
              <w:rPr>
                <w:rFonts w:ascii="Arial" w:hAnsi="Arial" w:cs="Arial"/>
                <w:sz w:val="18"/>
                <w:szCs w:val="18"/>
                <w:lang w:val="es-CR"/>
              </w:rPr>
              <w:t>Contrato Préstamo</w:t>
            </w:r>
          </w:p>
        </w:tc>
        <w:tc>
          <w:tcPr>
            <w:tcW w:w="6496" w:type="dxa"/>
          </w:tcPr>
          <w:p w14:paraId="1820711A" w14:textId="527BD2FD"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21</w:t>
            </w:r>
            <w:r w:rsidR="00284412" w:rsidRPr="00BE4DB5">
              <w:rPr>
                <w:rFonts w:ascii="Arial" w:hAnsi="Arial" w:cs="Arial"/>
                <w:sz w:val="18"/>
                <w:szCs w:val="18"/>
                <w:lang w:val="es-CR"/>
              </w:rPr>
              <w:t>88</w:t>
            </w:r>
          </w:p>
        </w:tc>
      </w:tr>
      <w:tr w:rsidR="00127148" w:rsidRPr="00BE4DB5" w14:paraId="5EACFA68" w14:textId="77777777" w:rsidTr="001C68EB">
        <w:trPr>
          <w:trHeight w:val="283"/>
        </w:trPr>
        <w:tc>
          <w:tcPr>
            <w:tcW w:w="2884" w:type="dxa"/>
          </w:tcPr>
          <w:p w14:paraId="19DB49DA" w14:textId="3B63845D"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Presupuesto Estimado:</w:t>
            </w:r>
          </w:p>
        </w:tc>
        <w:tc>
          <w:tcPr>
            <w:tcW w:w="6496" w:type="dxa"/>
          </w:tcPr>
          <w:p w14:paraId="0CACDD28" w14:textId="163D1B62" w:rsidR="00127148" w:rsidRPr="00BE4DB5" w:rsidRDefault="00284412" w:rsidP="00127148">
            <w:pPr>
              <w:spacing w:line="276" w:lineRule="auto"/>
              <w:rPr>
                <w:rFonts w:ascii="Arial" w:hAnsi="Arial" w:cs="Arial"/>
                <w:sz w:val="18"/>
                <w:szCs w:val="18"/>
                <w:lang w:val="es-CR"/>
              </w:rPr>
            </w:pPr>
            <w:r w:rsidRPr="00BE4DB5">
              <w:rPr>
                <w:rFonts w:ascii="Arial" w:hAnsi="Arial" w:cs="Arial"/>
                <w:sz w:val="18"/>
                <w:szCs w:val="18"/>
                <w:lang w:val="es-CR"/>
              </w:rPr>
              <w:t>₵ 15.064.532.492.</w:t>
            </w:r>
          </w:p>
        </w:tc>
      </w:tr>
      <w:tr w:rsidR="00127148" w:rsidRPr="00BE4DB5" w14:paraId="33EB3105" w14:textId="77777777" w:rsidTr="001C68EB">
        <w:trPr>
          <w:trHeight w:val="313"/>
        </w:trPr>
        <w:tc>
          <w:tcPr>
            <w:tcW w:w="2884" w:type="dxa"/>
          </w:tcPr>
          <w:p w14:paraId="2D0F4E6F" w14:textId="15BE1947"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 xml:space="preserve">No. </w:t>
            </w:r>
            <w:r w:rsidR="00BE4DB5" w:rsidRPr="00BE4DB5">
              <w:rPr>
                <w:rFonts w:ascii="Arial" w:hAnsi="Arial" w:cs="Arial"/>
                <w:sz w:val="18"/>
                <w:szCs w:val="18"/>
                <w:lang w:val="es-CR"/>
              </w:rPr>
              <w:t xml:space="preserve">Licitación </w:t>
            </w:r>
          </w:p>
        </w:tc>
        <w:tc>
          <w:tcPr>
            <w:tcW w:w="6496" w:type="dxa"/>
          </w:tcPr>
          <w:p w14:paraId="3F40CC52" w14:textId="6D40D2F7" w:rsidR="00127148" w:rsidRPr="00BE4DB5" w:rsidRDefault="002B7E6A" w:rsidP="00127148">
            <w:pPr>
              <w:spacing w:line="276" w:lineRule="auto"/>
              <w:rPr>
                <w:rFonts w:ascii="Arial" w:hAnsi="Arial" w:cs="Arial"/>
                <w:sz w:val="18"/>
                <w:szCs w:val="18"/>
                <w:lang w:val="es-CR"/>
              </w:rPr>
            </w:pPr>
            <w:r w:rsidRPr="00BE4DB5">
              <w:rPr>
                <w:rFonts w:ascii="Arial" w:hAnsi="Arial"/>
                <w:b/>
                <w:bCs/>
                <w:sz w:val="18"/>
                <w:szCs w:val="18"/>
                <w:lang w:val="es-CR"/>
              </w:rPr>
              <w:t>2025LY-0000</w:t>
            </w:r>
            <w:r w:rsidR="00284412" w:rsidRPr="00BE4DB5">
              <w:rPr>
                <w:rFonts w:ascii="Arial" w:hAnsi="Arial"/>
                <w:b/>
                <w:bCs/>
                <w:sz w:val="18"/>
                <w:szCs w:val="18"/>
                <w:lang w:val="es-CR"/>
              </w:rPr>
              <w:t>20</w:t>
            </w:r>
            <w:r w:rsidRPr="00BE4DB5">
              <w:rPr>
                <w:rFonts w:ascii="Arial" w:hAnsi="Arial"/>
                <w:b/>
                <w:bCs/>
                <w:sz w:val="18"/>
                <w:szCs w:val="18"/>
                <w:lang w:val="es-CR"/>
              </w:rPr>
              <w:t>-0021400001</w:t>
            </w:r>
          </w:p>
        </w:tc>
      </w:tr>
      <w:tr w:rsidR="00127148" w:rsidRPr="00BE4DB5" w14:paraId="1E0D2A35" w14:textId="77777777" w:rsidTr="001C68EB">
        <w:trPr>
          <w:trHeight w:val="567"/>
        </w:trPr>
        <w:tc>
          <w:tcPr>
            <w:tcW w:w="2884" w:type="dxa"/>
          </w:tcPr>
          <w:p w14:paraId="60C44E61" w14:textId="575A3BD1"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Fecha límite</w:t>
            </w:r>
            <w:r w:rsidR="001E6C24" w:rsidRPr="00BE4DB5">
              <w:rPr>
                <w:rFonts w:ascii="Arial" w:hAnsi="Arial" w:cs="Arial"/>
                <w:sz w:val="18"/>
                <w:szCs w:val="18"/>
                <w:lang w:val="es-CR"/>
              </w:rPr>
              <w:t xml:space="preserve"> de recepción de ofertas</w:t>
            </w:r>
            <w:r w:rsidRPr="00BE4DB5">
              <w:rPr>
                <w:rFonts w:ascii="Arial" w:hAnsi="Arial" w:cs="Arial"/>
                <w:sz w:val="18"/>
                <w:szCs w:val="18"/>
                <w:lang w:val="es-CR"/>
              </w:rPr>
              <w:t>:</w:t>
            </w:r>
          </w:p>
        </w:tc>
        <w:tc>
          <w:tcPr>
            <w:tcW w:w="6496" w:type="dxa"/>
          </w:tcPr>
          <w:p w14:paraId="65FFB69A" w14:textId="2338BDA6" w:rsidR="00127148" w:rsidRPr="00BE4DB5" w:rsidRDefault="00127148" w:rsidP="00127148">
            <w:pPr>
              <w:spacing w:line="276" w:lineRule="auto"/>
              <w:rPr>
                <w:rFonts w:ascii="Arial" w:hAnsi="Arial" w:cs="Arial"/>
                <w:sz w:val="18"/>
                <w:szCs w:val="18"/>
                <w:lang w:val="es-CR"/>
              </w:rPr>
            </w:pPr>
            <w:r w:rsidRPr="00BE4DB5">
              <w:rPr>
                <w:rFonts w:ascii="Arial" w:hAnsi="Arial" w:cs="Arial"/>
                <w:sz w:val="18"/>
                <w:szCs w:val="18"/>
                <w:lang w:val="es-CR"/>
              </w:rPr>
              <w:t xml:space="preserve"> </w:t>
            </w:r>
            <w:r w:rsidR="00284412" w:rsidRPr="00BE4DB5">
              <w:rPr>
                <w:rFonts w:ascii="Arial" w:hAnsi="Arial" w:cs="Arial"/>
                <w:sz w:val="18"/>
                <w:szCs w:val="18"/>
                <w:lang w:val="es-CR"/>
              </w:rPr>
              <w:t>11</w:t>
            </w:r>
            <w:r w:rsidRPr="00BE4DB5">
              <w:rPr>
                <w:rFonts w:ascii="Arial" w:hAnsi="Arial" w:cs="Arial"/>
                <w:sz w:val="18"/>
                <w:szCs w:val="18"/>
                <w:lang w:val="es-CR"/>
              </w:rPr>
              <w:t xml:space="preserve"> de </w:t>
            </w:r>
            <w:r w:rsidR="00284412" w:rsidRPr="00BE4DB5">
              <w:rPr>
                <w:rFonts w:ascii="Arial" w:hAnsi="Arial" w:cs="Arial"/>
                <w:sz w:val="18"/>
                <w:szCs w:val="18"/>
                <w:lang w:val="es-CR"/>
              </w:rPr>
              <w:t>noviembre</w:t>
            </w:r>
            <w:r w:rsidRPr="00BE4DB5">
              <w:rPr>
                <w:rFonts w:ascii="Arial" w:hAnsi="Arial" w:cs="Arial"/>
                <w:sz w:val="18"/>
                <w:szCs w:val="18"/>
                <w:lang w:val="es-CR"/>
              </w:rPr>
              <w:t xml:space="preserve"> del 202</w:t>
            </w:r>
            <w:r w:rsidR="00284412" w:rsidRPr="00BE4DB5">
              <w:rPr>
                <w:rFonts w:ascii="Arial" w:hAnsi="Arial" w:cs="Arial"/>
                <w:sz w:val="18"/>
                <w:szCs w:val="18"/>
                <w:lang w:val="es-CR"/>
              </w:rPr>
              <w:t>5</w:t>
            </w:r>
            <w:r w:rsidRPr="00BE4DB5">
              <w:rPr>
                <w:rFonts w:ascii="Arial" w:hAnsi="Arial" w:cs="Arial"/>
                <w:sz w:val="18"/>
                <w:szCs w:val="18"/>
                <w:lang w:val="es-CR"/>
              </w:rPr>
              <w:t xml:space="preserve"> hasta las 0</w:t>
            </w:r>
            <w:r w:rsidR="00284412" w:rsidRPr="00BE4DB5">
              <w:rPr>
                <w:rFonts w:ascii="Arial" w:hAnsi="Arial" w:cs="Arial"/>
                <w:sz w:val="18"/>
                <w:szCs w:val="18"/>
                <w:lang w:val="es-CR"/>
              </w:rPr>
              <w:t>8</w:t>
            </w:r>
            <w:r w:rsidRPr="00BE4DB5">
              <w:rPr>
                <w:rFonts w:ascii="Arial" w:hAnsi="Arial" w:cs="Arial"/>
                <w:sz w:val="18"/>
                <w:szCs w:val="18"/>
                <w:lang w:val="es-CR"/>
              </w:rPr>
              <w:t>:00</w:t>
            </w:r>
          </w:p>
        </w:tc>
      </w:tr>
    </w:tbl>
    <w:p w14:paraId="2B69224D" w14:textId="77777777" w:rsidR="00EE007C" w:rsidRPr="00284412" w:rsidRDefault="00EE007C" w:rsidP="00384569">
      <w:pPr>
        <w:spacing w:line="276" w:lineRule="auto"/>
        <w:rPr>
          <w:rFonts w:ascii="Arial" w:eastAsiaTheme="minorHAnsi" w:hAnsi="Arial" w:cs="Arial"/>
          <w:lang w:val="es-CR" w:eastAsia="en-US"/>
        </w:rPr>
      </w:pPr>
    </w:p>
    <w:sectPr w:rsidR="00EE007C" w:rsidRPr="00284412" w:rsidSect="00712BE9">
      <w:pgSz w:w="11906" w:h="16838"/>
      <w:pgMar w:top="900" w:right="200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StarSymbol">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4236"/>
    <w:multiLevelType w:val="hybridMultilevel"/>
    <w:tmpl w:val="BF2EF11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1" w15:restartNumberingAfterBreak="0">
    <w:nsid w:val="33130D59"/>
    <w:multiLevelType w:val="hybridMultilevel"/>
    <w:tmpl w:val="C55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25E41"/>
    <w:multiLevelType w:val="hybridMultilevel"/>
    <w:tmpl w:val="D1B6E0FA"/>
    <w:lvl w:ilvl="0" w:tplc="32DC95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660F4"/>
    <w:multiLevelType w:val="hybridMultilevel"/>
    <w:tmpl w:val="6DC8E9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31715884">
    <w:abstractNumId w:val="1"/>
  </w:num>
  <w:num w:numId="2" w16cid:durableId="1994749540">
    <w:abstractNumId w:val="2"/>
  </w:num>
  <w:num w:numId="3" w16cid:durableId="228997391">
    <w:abstractNumId w:val="3"/>
  </w:num>
  <w:num w:numId="4" w16cid:durableId="7446456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A2"/>
    <w:rsid w:val="00023825"/>
    <w:rsid w:val="00024443"/>
    <w:rsid w:val="00041B7A"/>
    <w:rsid w:val="000564BC"/>
    <w:rsid w:val="00083818"/>
    <w:rsid w:val="000A1487"/>
    <w:rsid w:val="000B4087"/>
    <w:rsid w:val="000D1E6B"/>
    <w:rsid w:val="000F37DE"/>
    <w:rsid w:val="0011066B"/>
    <w:rsid w:val="0011707A"/>
    <w:rsid w:val="00123F19"/>
    <w:rsid w:val="00125B00"/>
    <w:rsid w:val="00127148"/>
    <w:rsid w:val="00131AB0"/>
    <w:rsid w:val="0013603B"/>
    <w:rsid w:val="0014780F"/>
    <w:rsid w:val="00166DCD"/>
    <w:rsid w:val="0017504E"/>
    <w:rsid w:val="00195455"/>
    <w:rsid w:val="001B2E09"/>
    <w:rsid w:val="001C68EB"/>
    <w:rsid w:val="001E6C24"/>
    <w:rsid w:val="002071B5"/>
    <w:rsid w:val="00230B63"/>
    <w:rsid w:val="00233B56"/>
    <w:rsid w:val="002369E1"/>
    <w:rsid w:val="00236DC7"/>
    <w:rsid w:val="0024615B"/>
    <w:rsid w:val="0025378C"/>
    <w:rsid w:val="002637D8"/>
    <w:rsid w:val="002656B3"/>
    <w:rsid w:val="00284412"/>
    <w:rsid w:val="002A70BB"/>
    <w:rsid w:val="002B7E6A"/>
    <w:rsid w:val="002C51FD"/>
    <w:rsid w:val="002D2712"/>
    <w:rsid w:val="002D6BD7"/>
    <w:rsid w:val="002F3241"/>
    <w:rsid w:val="0031246F"/>
    <w:rsid w:val="00316BAC"/>
    <w:rsid w:val="00345F56"/>
    <w:rsid w:val="00354CED"/>
    <w:rsid w:val="00360E49"/>
    <w:rsid w:val="00374CA2"/>
    <w:rsid w:val="0038218D"/>
    <w:rsid w:val="00384569"/>
    <w:rsid w:val="00394AB2"/>
    <w:rsid w:val="003A6AEB"/>
    <w:rsid w:val="003F36CD"/>
    <w:rsid w:val="00412929"/>
    <w:rsid w:val="004227E4"/>
    <w:rsid w:val="00424403"/>
    <w:rsid w:val="00445414"/>
    <w:rsid w:val="00475C63"/>
    <w:rsid w:val="00486FA2"/>
    <w:rsid w:val="004A3481"/>
    <w:rsid w:val="004C4FD6"/>
    <w:rsid w:val="004F381F"/>
    <w:rsid w:val="004F38C9"/>
    <w:rsid w:val="0051265F"/>
    <w:rsid w:val="00521BA8"/>
    <w:rsid w:val="0053366E"/>
    <w:rsid w:val="00555C01"/>
    <w:rsid w:val="00592821"/>
    <w:rsid w:val="005C4C0F"/>
    <w:rsid w:val="005D0F89"/>
    <w:rsid w:val="005E51EE"/>
    <w:rsid w:val="00606BB6"/>
    <w:rsid w:val="00620714"/>
    <w:rsid w:val="00620C87"/>
    <w:rsid w:val="00632A85"/>
    <w:rsid w:val="00637616"/>
    <w:rsid w:val="00651F48"/>
    <w:rsid w:val="00655B06"/>
    <w:rsid w:val="006741F9"/>
    <w:rsid w:val="00681682"/>
    <w:rsid w:val="006836ED"/>
    <w:rsid w:val="00683A87"/>
    <w:rsid w:val="006A46AD"/>
    <w:rsid w:val="006A4954"/>
    <w:rsid w:val="006A542B"/>
    <w:rsid w:val="006B45CB"/>
    <w:rsid w:val="006D6198"/>
    <w:rsid w:val="00706630"/>
    <w:rsid w:val="00712BE9"/>
    <w:rsid w:val="00712FD7"/>
    <w:rsid w:val="00714701"/>
    <w:rsid w:val="00725037"/>
    <w:rsid w:val="007409CE"/>
    <w:rsid w:val="007722EA"/>
    <w:rsid w:val="0077337B"/>
    <w:rsid w:val="00780168"/>
    <w:rsid w:val="007A53C2"/>
    <w:rsid w:val="007C215C"/>
    <w:rsid w:val="007D12B5"/>
    <w:rsid w:val="007F78D1"/>
    <w:rsid w:val="0080481A"/>
    <w:rsid w:val="008318CB"/>
    <w:rsid w:val="00835630"/>
    <w:rsid w:val="008B4638"/>
    <w:rsid w:val="008E2C7E"/>
    <w:rsid w:val="00901373"/>
    <w:rsid w:val="009046CB"/>
    <w:rsid w:val="0092509A"/>
    <w:rsid w:val="0094752D"/>
    <w:rsid w:val="0098778E"/>
    <w:rsid w:val="009C2066"/>
    <w:rsid w:val="009C4C24"/>
    <w:rsid w:val="009C7363"/>
    <w:rsid w:val="009F36E6"/>
    <w:rsid w:val="00A21CAE"/>
    <w:rsid w:val="00A42B27"/>
    <w:rsid w:val="00A50FAF"/>
    <w:rsid w:val="00A60757"/>
    <w:rsid w:val="00A67CB4"/>
    <w:rsid w:val="00AA769B"/>
    <w:rsid w:val="00AB1D87"/>
    <w:rsid w:val="00AF5236"/>
    <w:rsid w:val="00B13DC9"/>
    <w:rsid w:val="00B85D97"/>
    <w:rsid w:val="00B90B05"/>
    <w:rsid w:val="00BD66D5"/>
    <w:rsid w:val="00BE4DB5"/>
    <w:rsid w:val="00C265D0"/>
    <w:rsid w:val="00C467AA"/>
    <w:rsid w:val="00C46809"/>
    <w:rsid w:val="00C57D12"/>
    <w:rsid w:val="00C650EE"/>
    <w:rsid w:val="00C679BB"/>
    <w:rsid w:val="00C71CF8"/>
    <w:rsid w:val="00C7571A"/>
    <w:rsid w:val="00CA4E9A"/>
    <w:rsid w:val="00CB4946"/>
    <w:rsid w:val="00CD42AB"/>
    <w:rsid w:val="00D01601"/>
    <w:rsid w:val="00D24EEB"/>
    <w:rsid w:val="00D27971"/>
    <w:rsid w:val="00D51C1F"/>
    <w:rsid w:val="00D546B2"/>
    <w:rsid w:val="00D71779"/>
    <w:rsid w:val="00D74EF6"/>
    <w:rsid w:val="00D976CD"/>
    <w:rsid w:val="00DA1A59"/>
    <w:rsid w:val="00DB55D5"/>
    <w:rsid w:val="00DB5E96"/>
    <w:rsid w:val="00E01B2D"/>
    <w:rsid w:val="00E12836"/>
    <w:rsid w:val="00E23745"/>
    <w:rsid w:val="00E33E45"/>
    <w:rsid w:val="00E42766"/>
    <w:rsid w:val="00E50726"/>
    <w:rsid w:val="00E63F9A"/>
    <w:rsid w:val="00E70F3B"/>
    <w:rsid w:val="00E767E2"/>
    <w:rsid w:val="00E82FD8"/>
    <w:rsid w:val="00EA2C4A"/>
    <w:rsid w:val="00EA55DC"/>
    <w:rsid w:val="00EA57AE"/>
    <w:rsid w:val="00EA76D4"/>
    <w:rsid w:val="00EB1594"/>
    <w:rsid w:val="00EB62D2"/>
    <w:rsid w:val="00EC1017"/>
    <w:rsid w:val="00EC2769"/>
    <w:rsid w:val="00EE007C"/>
    <w:rsid w:val="00EE1309"/>
    <w:rsid w:val="00EE6175"/>
    <w:rsid w:val="00F0520D"/>
    <w:rsid w:val="00F059B7"/>
    <w:rsid w:val="00F32E8E"/>
    <w:rsid w:val="00F6237B"/>
    <w:rsid w:val="00F734C6"/>
    <w:rsid w:val="00F75162"/>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BF52"/>
  <w15:chartTrackingRefBased/>
  <w15:docId w15:val="{74B15340-82C8-44D1-A636-E062B74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A2"/>
    <w:pPr>
      <w:spacing w:after="0" w:line="240" w:lineRule="auto"/>
    </w:pPr>
    <w:rPr>
      <w:rFonts w:ascii="Times New Roman" w:eastAsia="Times New Roman" w:hAnsi="Times New Roman" w:cs="Times New Roman"/>
      <w:sz w:val="24"/>
      <w:szCs w:val="24"/>
      <w:lang w:val="en-GB" w:eastAsia="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74CA2"/>
    <w:rPr>
      <w:color w:val="0000FF"/>
      <w:u w:val="single"/>
    </w:rPr>
  </w:style>
  <w:style w:type="paragraph" w:styleId="Prrafodelista">
    <w:name w:val="List Paragraph"/>
    <w:basedOn w:val="Normal"/>
    <w:uiPriority w:val="34"/>
    <w:qFormat/>
    <w:rsid w:val="00374CA2"/>
    <w:pPr>
      <w:ind w:left="720"/>
    </w:pPr>
  </w:style>
  <w:style w:type="table" w:styleId="Tablaconcuadrcula">
    <w:name w:val="Table Grid"/>
    <w:basedOn w:val="Tablanormal"/>
    <w:rsid w:val="00374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B40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087"/>
    <w:rPr>
      <w:rFonts w:ascii="Segoe UI" w:eastAsia="Times New Roman" w:hAnsi="Segoe UI" w:cs="Segoe UI"/>
      <w:sz w:val="18"/>
      <w:szCs w:val="18"/>
      <w:lang w:val="en-GB" w:eastAsia="en-GB"/>
    </w:rPr>
  </w:style>
  <w:style w:type="paragraph" w:customStyle="1" w:styleId="Default">
    <w:name w:val="Default"/>
    <w:rsid w:val="0017504E"/>
    <w:pPr>
      <w:autoSpaceDE w:val="0"/>
      <w:autoSpaceDN w:val="0"/>
      <w:adjustRightInd w:val="0"/>
      <w:spacing w:after="0" w:line="240" w:lineRule="auto"/>
    </w:pPr>
    <w:rPr>
      <w:rFonts w:ascii="Calibri" w:hAnsi="Calibri" w:cs="Calibri"/>
      <w:color w:val="000000"/>
      <w:sz w:val="24"/>
      <w:szCs w:val="24"/>
      <w:lang w:val="es-CR"/>
    </w:rPr>
  </w:style>
  <w:style w:type="paragraph" w:customStyle="1" w:styleId="Saludo1">
    <w:name w:val="Saludo1"/>
    <w:basedOn w:val="Normal"/>
    <w:next w:val="Normal"/>
    <w:rsid w:val="00AF5236"/>
    <w:pPr>
      <w:suppressAutoHyphens/>
    </w:pPr>
    <w:rPr>
      <w:lang w:val="es-ES" w:eastAsia="ar-SA"/>
    </w:rPr>
  </w:style>
  <w:style w:type="paragraph" w:styleId="Textoindependiente">
    <w:name w:val="Body Text"/>
    <w:basedOn w:val="Normal"/>
    <w:link w:val="TextoindependienteCar"/>
    <w:uiPriority w:val="1"/>
    <w:qFormat/>
    <w:rsid w:val="002C51FD"/>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2C51F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99478">
      <w:bodyDiv w:val="1"/>
      <w:marLeft w:val="0"/>
      <w:marRight w:val="0"/>
      <w:marTop w:val="0"/>
      <w:marBottom w:val="0"/>
      <w:divBdr>
        <w:top w:val="none" w:sz="0" w:space="0" w:color="auto"/>
        <w:left w:val="none" w:sz="0" w:space="0" w:color="auto"/>
        <w:bottom w:val="none" w:sz="0" w:space="0" w:color="auto"/>
        <w:right w:val="none" w:sz="0" w:space="0" w:color="auto"/>
      </w:divBdr>
    </w:div>
    <w:div w:id="17607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all-center@sicop.go.cr" TargetMode="External"/><Relationship Id="rId4" Type="http://schemas.openxmlformats.org/officeDocument/2006/relationships/customXml" Target="../customXml/item4.xml"/><Relationship Id="rId9" Type="http://schemas.openxmlformats.org/officeDocument/2006/relationships/hyperlink" Target="https://www.sicop.go.cr/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59AE8F042FD4CB28DC7C5190EE6D5" ma:contentTypeVersion="18" ma:contentTypeDescription="Crear nuevo documento." ma:contentTypeScope="" ma:versionID="94b0c798206cd19b0284328eab1e19e7">
  <xsd:schema xmlns:xsd="http://www.w3.org/2001/XMLSchema" xmlns:xs="http://www.w3.org/2001/XMLSchema" xmlns:p="http://schemas.microsoft.com/office/2006/metadata/properties" xmlns:ns2="265988bc-f979-4822-bc75-36ec139c048e" xmlns:ns3="9aedf23f-ccda-4953-912c-0ba8c5b5f26f" targetNamespace="http://schemas.microsoft.com/office/2006/metadata/properties" ma:root="true" ma:fieldsID="01c11af4d28b4b67d5b62b5e6676df96" ns2:_="" ns3:_="">
    <xsd:import namespace="265988bc-f979-4822-bc75-36ec139c048e"/>
    <xsd:import namespace="9aedf23f-ccda-4953-912c-0ba8c5b5f2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988bc-f979-4822-bc75-36ec139c0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92e221f-4dc9-40aa-ac58-c676391c8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edf23f-ccda-4953-912c-0ba8c5b5f2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d73259a-6ce0-42f9-9431-c690430508d3}" ma:internalName="TaxCatchAll" ma:showField="CatchAllData" ma:web="9aedf23f-ccda-4953-912c-0ba8c5b5f2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5988bc-f979-4822-bc75-36ec139c048e">
      <Terms xmlns="http://schemas.microsoft.com/office/infopath/2007/PartnerControls"/>
    </lcf76f155ced4ddcb4097134ff3c332f>
    <TaxCatchAll xmlns="9aedf23f-ccda-4953-912c-0ba8c5b5f26f" xsi:nil="true"/>
  </documentManagement>
</p:properties>
</file>

<file path=customXml/itemProps1.xml><?xml version="1.0" encoding="utf-8"?>
<ds:datastoreItem xmlns:ds="http://schemas.openxmlformats.org/officeDocument/2006/customXml" ds:itemID="{57A3C9CA-5B42-4304-82EF-C6F5D6BE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988bc-f979-4822-bc75-36ec139c048e"/>
    <ds:schemaRef ds:uri="9aedf23f-ccda-4953-912c-0ba8c5b5f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99677-1C70-43C1-827D-48167FDB3472}">
  <ds:schemaRefs>
    <ds:schemaRef ds:uri="http://schemas.microsoft.com/sharepoint/v3/contenttype/forms"/>
  </ds:schemaRefs>
</ds:datastoreItem>
</file>

<file path=customXml/itemProps3.xml><?xml version="1.0" encoding="utf-8"?>
<ds:datastoreItem xmlns:ds="http://schemas.openxmlformats.org/officeDocument/2006/customXml" ds:itemID="{E4A7F5DE-B999-4571-87D3-65622CB12EB5}">
  <ds:schemaRefs>
    <ds:schemaRef ds:uri="http://schemas.openxmlformats.org/officeDocument/2006/bibliography"/>
  </ds:schemaRefs>
</ds:datastoreItem>
</file>

<file path=customXml/itemProps4.xml><?xml version="1.0" encoding="utf-8"?>
<ds:datastoreItem xmlns:ds="http://schemas.openxmlformats.org/officeDocument/2006/customXml" ds:itemID="{C1A4A401-A736-495F-B91D-96D29F9C18B5}">
  <ds:schemaRefs>
    <ds:schemaRef ds:uri="http://schemas.microsoft.com/office/2006/metadata/properties"/>
    <ds:schemaRef ds:uri="http://schemas.microsoft.com/office/infopath/2007/PartnerControls"/>
    <ds:schemaRef ds:uri="265988bc-f979-4822-bc75-36ec139c048e"/>
    <ds:schemaRef ds:uri="9aedf23f-ccda-4953-912c-0ba8c5b5f2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3169</Characters>
  <Application>Microsoft Office Word</Application>
  <DocSecurity>4</DocSecurity>
  <Lines>81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Dean Anderson</dc:creator>
  <cp:keywords/>
  <dc:description/>
  <cp:lastModifiedBy>Jenny Godoy Blanco</cp:lastModifiedBy>
  <cp:revision>2</cp:revision>
  <cp:lastPrinted>2017-04-26T19:51:00Z</cp:lastPrinted>
  <dcterms:created xsi:type="dcterms:W3CDTF">2025-09-26T19:57:00Z</dcterms:created>
  <dcterms:modified xsi:type="dcterms:W3CDTF">2025-09-26T19:57:00Z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0x010100E9F59AE8F042FD4CB28DC7C5190EE6D5</vt:lpwstr>
  </property>
  <property fmtid="{D5CDD505-2E9C-101B-9397-08002B2CF9AE}" pid="3" name="MediaServiceImageTags">
    <vt:lpwstr/>
  </property>
</Properties>
</file>